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8" w:rsidRPr="00AC0C38" w:rsidRDefault="00AC0C38" w:rsidP="00AC0C38">
      <w:pPr>
        <w:shd w:val="clear" w:color="auto" w:fill="CAEBFA"/>
        <w:spacing w:before="0" w:after="0"/>
        <w:jc w:val="center"/>
        <w:textAlignment w:val="baseline"/>
        <w:rPr>
          <w:rFonts w:ascii="Tahoma" w:eastAsia="Times New Roman" w:hAnsi="Tahoma" w:cs="Tahoma"/>
          <w:b/>
          <w:bCs/>
          <w:caps/>
          <w:color w:val="035FC2"/>
          <w:sz w:val="23"/>
          <w:szCs w:val="23"/>
        </w:rPr>
      </w:pPr>
      <w:r w:rsidRPr="00AC0C38">
        <w:rPr>
          <w:rFonts w:ascii="Tahoma" w:eastAsia="Times New Roman" w:hAnsi="Tahoma" w:cs="Tahoma"/>
          <w:b/>
          <w:bCs/>
          <w:caps/>
          <w:color w:val="035FC2"/>
          <w:sz w:val="23"/>
          <w:szCs w:val="23"/>
        </w:rPr>
        <w:t>THỦ TỤC CÔNG NHẬN CÂU LẠC BỘ THỂ THAO CƠ SỞ</w:t>
      </w:r>
    </w:p>
    <w:p w:rsidR="00AC0C38" w:rsidRPr="00AC0C38" w:rsidRDefault="00AC0C38" w:rsidP="00AC0C38">
      <w:pPr>
        <w:shd w:val="clear" w:color="auto" w:fill="CAEBFA"/>
        <w:spacing w:before="0" w:after="0"/>
        <w:jc w:val="center"/>
        <w:textAlignment w:val="baseline"/>
        <w:rPr>
          <w:rFonts w:ascii="Tahoma" w:eastAsia="Times New Roman" w:hAnsi="Tahoma" w:cs="Tahoma"/>
          <w:color w:val="080808"/>
          <w:sz w:val="18"/>
          <w:szCs w:val="18"/>
        </w:rPr>
      </w:pPr>
      <w:r w:rsidRPr="00AC0C38">
        <w:rPr>
          <w:rFonts w:ascii="Tahoma" w:eastAsia="Times New Roman" w:hAnsi="Tahoma" w:cs="Tahoma"/>
          <w:color w:val="080808"/>
          <w:sz w:val="18"/>
          <w:szCs w:val="18"/>
        </w:rPr>
        <w:t>(Ban hành kèm theo </w:t>
      </w:r>
      <w:hyperlink r:id="rId4" w:tooltip="Quyết định số 811/QĐ-UBND ngày 01/6/2016 của Chủ tịch UBND tỉnh công bố chuẩn hóa TTHC thuộc lĩnh vực Văn hóa, Thể thao và Du lịch" w:history="1">
        <w:r w:rsidRPr="00AC0C38">
          <w:rPr>
            <w:rFonts w:ascii="Tahoma" w:eastAsia="Times New Roman" w:hAnsi="Tahoma" w:cs="Tahoma"/>
            <w:color w:val="2B48E1"/>
            <w:sz w:val="18"/>
          </w:rPr>
          <w:t>Quyết định số 811/QĐ-UBND ngày 01/6/2016 của Chủ tịch UBND tỉnh công bố chuẩn hóa TTHC thuộc lĩnh vực Văn hóa, Thể thao và Du lịch</w:t>
        </w:r>
      </w:hyperlink>
      <w:r w:rsidRPr="00AC0C38">
        <w:rPr>
          <w:rFonts w:ascii="Tahoma" w:eastAsia="Times New Roman" w:hAnsi="Tahoma" w:cs="Tahoma"/>
          <w:color w:val="080808"/>
          <w:sz w:val="18"/>
          <w:szCs w:val="18"/>
        </w:rPr>
        <w:t>)</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0"/>
          <w:szCs w:val="20"/>
          <w:bdr w:val="none" w:sz="0" w:space="0" w:color="auto" w:frame="1"/>
        </w:rPr>
        <w:t> </w:t>
      </w:r>
      <w:r w:rsidRPr="00AC0C38">
        <w:rPr>
          <w:rFonts w:ascii="Tahoma" w:eastAsia="Times New Roman" w:hAnsi="Tahoma" w:cs="Tahoma"/>
          <w:b/>
          <w:bCs/>
          <w:color w:val="000000"/>
          <w:sz w:val="22"/>
          <w:bdr w:val="none" w:sz="0" w:space="0" w:color="auto" w:frame="1"/>
          <w:lang w:val="nb-NO"/>
        </w:rPr>
        <w:t>1.1. Trình tự thực hiện</w:t>
      </w:r>
      <w:r w:rsidRPr="00AC0C38">
        <w:rPr>
          <w:rFonts w:ascii="Tahoma" w:eastAsia="Times New Roman" w:hAnsi="Tahoma" w:cs="Tahoma"/>
          <w:i/>
          <w:iCs/>
          <w:color w:val="000000"/>
          <w:sz w:val="20"/>
          <w:szCs w:val="20"/>
          <w:bdr w:val="none" w:sz="0" w:space="0" w:color="auto" w:frame="1"/>
        </w:rPr>
        <w:t>:</w:t>
      </w:r>
    </w:p>
    <w:p w:rsidR="00AC0C38" w:rsidRPr="00AC0C38" w:rsidRDefault="00AC0C38" w:rsidP="00AC0C38">
      <w:pPr>
        <w:spacing w:before="0" w:after="0" w:line="375" w:lineRule="atLeast"/>
        <w:ind w:firstLine="567"/>
        <w:textAlignment w:val="baseline"/>
        <w:rPr>
          <w:rFonts w:eastAsia="Times New Roman" w:cs="Times New Roman"/>
          <w:color w:val="000000"/>
          <w:sz w:val="18"/>
          <w:szCs w:val="18"/>
        </w:rPr>
      </w:pPr>
      <w:r w:rsidRPr="00AC0C38">
        <w:rPr>
          <w:rFonts w:eastAsia="Times New Roman" w:cs="Times New Roman"/>
          <w:color w:val="000000"/>
          <w:sz w:val="20"/>
          <w:szCs w:val="20"/>
          <w:bdr w:val="none" w:sz="0" w:space="0" w:color="auto" w:frame="1"/>
        </w:rPr>
        <w:t>Tổ chức nộp hồ sơ tại Ủy ban nhân dân xã nơi đặt trụ sở</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pacing w:val="-6"/>
          <w:sz w:val="22"/>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1.2. Cách thức thực hiện</w:t>
      </w:r>
      <w:r w:rsidRPr="00AC0C38">
        <w:rPr>
          <w:rFonts w:ascii="Tahoma" w:eastAsia="Times New Roman" w:hAnsi="Tahoma" w:cs="Tahoma"/>
          <w:i/>
          <w:iCs/>
          <w:color w:val="000000"/>
          <w:spacing w:val="-6"/>
          <w:sz w:val="22"/>
          <w:bdr w:val="none" w:sz="0" w:space="0" w:color="auto" w:frame="1"/>
        </w:rPr>
        <w:t>: </w:t>
      </w:r>
      <w:r w:rsidRPr="00AC0C38">
        <w:rPr>
          <w:rFonts w:ascii="Tahoma" w:eastAsia="Times New Roman" w:hAnsi="Tahoma" w:cs="Tahoma"/>
          <w:color w:val="000000"/>
          <w:spacing w:val="-6"/>
          <w:sz w:val="22"/>
          <w:bdr w:val="none" w:sz="0" w:space="0" w:color="auto" w:frame="1"/>
        </w:rPr>
        <w:t>Nộp hồ sơ tại Ủy ban nhân dân cấp xã</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1.3. Thành phần, số lượng hồ sơ:</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a) Thành phần hồ sơ:</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rPr>
        <w:t>1- Quyết định thành lập;</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rPr>
        <w:t>2- Danh sách Ban chủ nhiệm;</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rPr>
        <w:t>3- Danh sách hội viên;</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rPr>
        <w:t>4- Địa điểm luyện tập;</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rPr>
        <w:t>5- Quy chế hoạt động.</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b)  Số lượng hồ sơ</w:t>
      </w:r>
      <w:r w:rsidRPr="00AC0C38">
        <w:rPr>
          <w:rFonts w:ascii="Tahoma" w:eastAsia="Times New Roman" w:hAnsi="Tahoma" w:cs="Tahoma"/>
          <w:color w:val="000000"/>
          <w:sz w:val="20"/>
          <w:szCs w:val="20"/>
          <w:bdr w:val="none" w:sz="0" w:space="0" w:color="auto" w:frame="1"/>
        </w:rPr>
        <w:t>: Không quy định</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0"/>
          <w:szCs w:val="20"/>
          <w:bdr w:val="none" w:sz="0" w:space="0" w:color="auto" w:frame="1"/>
        </w:rPr>
        <w:t>1.5. Thời hạn giải quyết: </w:t>
      </w:r>
      <w:r w:rsidRPr="00AC0C38">
        <w:rPr>
          <w:rFonts w:ascii="Tahoma" w:eastAsia="Times New Roman" w:hAnsi="Tahoma" w:cs="Tahoma"/>
          <w:color w:val="000000"/>
          <w:sz w:val="20"/>
          <w:szCs w:val="20"/>
          <w:bdr w:val="none" w:sz="0" w:space="0" w:color="auto" w:frame="1"/>
        </w:rPr>
        <w:t>07 ngày làm việc kể từ ngày nhận đủ hồ sơ hợp lệ.</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1.6. Đối tượng thực hiện thủ tục hành chính</w:t>
      </w:r>
      <w:r w:rsidRPr="00AC0C38">
        <w:rPr>
          <w:rFonts w:ascii="Tahoma" w:eastAsia="Times New Roman" w:hAnsi="Tahoma" w:cs="Tahoma"/>
          <w:i/>
          <w:iCs/>
          <w:color w:val="000000"/>
          <w:sz w:val="20"/>
          <w:szCs w:val="20"/>
          <w:bdr w:val="none" w:sz="0" w:space="0" w:color="auto" w:frame="1"/>
        </w:rPr>
        <w:t>:</w:t>
      </w:r>
      <w:r w:rsidRPr="00AC0C38">
        <w:rPr>
          <w:rFonts w:ascii="Tahoma" w:eastAsia="Times New Roman" w:hAnsi="Tahoma" w:cs="Tahoma"/>
          <w:color w:val="000000"/>
          <w:sz w:val="20"/>
          <w:szCs w:val="20"/>
          <w:bdr w:val="none" w:sz="0" w:space="0" w:color="auto" w:frame="1"/>
        </w:rPr>
        <w:t> Tổ chức.</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1.7. Cơ quan thực hiện thủ tục hành chính</w:t>
      </w:r>
      <w:r w:rsidRPr="00AC0C38">
        <w:rPr>
          <w:rFonts w:ascii="Tahoma" w:eastAsia="Times New Roman" w:hAnsi="Tahoma" w:cs="Tahoma"/>
          <w:i/>
          <w:iCs/>
          <w:color w:val="000000"/>
          <w:sz w:val="20"/>
          <w:szCs w:val="20"/>
          <w:bdr w:val="none" w:sz="0" w:space="0" w:color="auto" w:frame="1"/>
        </w:rPr>
        <w:t>:</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2"/>
          <w:bdr w:val="none" w:sz="0" w:space="0" w:color="auto" w:frame="1"/>
          <w:lang w:val="nb-NO"/>
        </w:rPr>
        <w:t>- Cơ quan có thẩm quyền quyết định: Chủ tịch Uỷ ban nhân dân cấp xã.</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0"/>
          <w:szCs w:val="20"/>
          <w:bdr w:val="none" w:sz="0" w:space="0" w:color="auto" w:frame="1"/>
        </w:rPr>
        <w:t>- Cơ quan trực tiếp thực hiện TTHC: Ủy ban nhân dân xã.</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0"/>
          <w:szCs w:val="20"/>
          <w:bdr w:val="none" w:sz="0" w:space="0" w:color="auto" w:frame="1"/>
        </w:rPr>
        <w:t>1.8. Phí, lệ phí</w:t>
      </w:r>
      <w:r w:rsidRPr="00AC0C38">
        <w:rPr>
          <w:rFonts w:ascii="Tahoma" w:eastAsia="Times New Roman" w:hAnsi="Tahoma" w:cs="Tahoma"/>
          <w:color w:val="000000"/>
          <w:sz w:val="20"/>
          <w:szCs w:val="20"/>
          <w:bdr w:val="none" w:sz="0" w:space="0" w:color="auto" w:frame="1"/>
        </w:rPr>
        <w:t>: Không</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0"/>
          <w:szCs w:val="20"/>
          <w:bdr w:val="none" w:sz="0" w:space="0" w:color="auto" w:frame="1"/>
        </w:rPr>
        <w:t>1.9. Mẫu đơn</w:t>
      </w:r>
      <w:r w:rsidRPr="00AC0C38">
        <w:rPr>
          <w:rFonts w:ascii="Tahoma" w:eastAsia="Times New Roman" w:hAnsi="Tahoma" w:cs="Tahoma"/>
          <w:color w:val="000000"/>
          <w:sz w:val="20"/>
          <w:szCs w:val="20"/>
          <w:bdr w:val="none" w:sz="0" w:space="0" w:color="auto" w:frame="1"/>
        </w:rPr>
        <w:t>: Không</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1.10. Kết quả thực hiện thủ tục hành chính</w:t>
      </w:r>
      <w:r w:rsidRPr="00AC0C38">
        <w:rPr>
          <w:rFonts w:ascii="Tahoma" w:eastAsia="Times New Roman" w:hAnsi="Tahoma" w:cs="Tahoma"/>
          <w:i/>
          <w:iCs/>
          <w:color w:val="000000"/>
          <w:sz w:val="20"/>
          <w:szCs w:val="20"/>
          <w:bdr w:val="none" w:sz="0" w:space="0" w:color="auto" w:frame="1"/>
        </w:rPr>
        <w:t>: </w:t>
      </w:r>
      <w:r w:rsidRPr="00AC0C38">
        <w:rPr>
          <w:rFonts w:ascii="Tahoma" w:eastAsia="Times New Roman" w:hAnsi="Tahoma" w:cs="Tahoma"/>
          <w:color w:val="000000"/>
          <w:sz w:val="20"/>
          <w:szCs w:val="20"/>
          <w:bdr w:val="none" w:sz="0" w:space="0" w:color="auto" w:frame="1"/>
        </w:rPr>
        <w:t>Quyết định hành chính</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b/>
          <w:bCs/>
          <w:color w:val="000000"/>
          <w:sz w:val="22"/>
          <w:bdr w:val="none" w:sz="0" w:space="0" w:color="auto" w:frame="1"/>
          <w:lang w:val="nb-NO"/>
        </w:rPr>
        <w:t>1.11. Căn cứ pháp lý của thủ tục hành chính:</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0"/>
          <w:szCs w:val="20"/>
          <w:bdr w:val="none" w:sz="0" w:space="0" w:color="auto" w:frame="1"/>
        </w:rPr>
        <w:t>- Luật thể dục, thể thao số 77/2006/QH11 ngày 29/11/2006. Có hiệu lực thi hành từ ngày 01/7/2007.</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0"/>
          <w:szCs w:val="20"/>
          <w:bdr w:val="none" w:sz="0" w:space="0" w:color="auto" w:frame="1"/>
        </w:rPr>
        <w:t>- Nghị định số 112/2007/NĐ-CP ngày 26/6/2007 của Chính phủ  quy định chi tiết và hướng dẫn thi hành một số điều của Luật Thế dục, Thể thao. Có hiệu lực thi hành từ ngày 03/8/2007.</w:t>
      </w:r>
    </w:p>
    <w:p w:rsidR="00AC0C38" w:rsidRPr="00AC0C38" w:rsidRDefault="00AC0C38" w:rsidP="00AC0C38">
      <w:pPr>
        <w:spacing w:before="0" w:after="0" w:line="375" w:lineRule="atLeast"/>
        <w:textAlignment w:val="baseline"/>
        <w:rPr>
          <w:rFonts w:ascii="Tahoma" w:eastAsia="Times New Roman" w:hAnsi="Tahoma" w:cs="Tahoma"/>
          <w:color w:val="000000"/>
          <w:sz w:val="18"/>
          <w:szCs w:val="18"/>
        </w:rPr>
      </w:pPr>
      <w:r w:rsidRPr="00AC0C38">
        <w:rPr>
          <w:rFonts w:ascii="Tahoma" w:eastAsia="Times New Roman" w:hAnsi="Tahoma" w:cs="Tahoma"/>
          <w:color w:val="000000"/>
          <w:sz w:val="20"/>
          <w:szCs w:val="20"/>
          <w:bdr w:val="none" w:sz="0" w:space="0" w:color="auto" w:frame="1"/>
        </w:rPr>
        <w:t>- Thông tư số 18/2011/TT-BVHTTDL ngày 02 tháng 12 năm 2011 của Bộ trưởng Bộ Văn hoá, Thể thao và Du lịch quy định mẫu về tổ chức và hoạt động của câu lạc bộ thể thao cơ sở. </w:t>
      </w:r>
      <w:r w:rsidRPr="00AC0C38">
        <w:rPr>
          <w:rFonts w:ascii="Tahoma" w:eastAsia="Times New Roman" w:hAnsi="Tahoma" w:cs="Tahoma"/>
          <w:color w:val="000000"/>
          <w:sz w:val="22"/>
          <w:bdr w:val="none" w:sz="0" w:space="0" w:color="auto" w:frame="1"/>
          <w:lang w:val="de-DE"/>
        </w:rPr>
        <w:t>Có hiệu lực từ ngày 25/01/2012./.</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C0C38"/>
    <w:rsid w:val="005D264C"/>
    <w:rsid w:val="007E78A9"/>
    <w:rsid w:val="00AC0C38"/>
    <w:rsid w:val="00F00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C38"/>
    <w:rPr>
      <w:color w:val="0000FF"/>
      <w:u w:val="single"/>
    </w:rPr>
  </w:style>
  <w:style w:type="paragraph" w:styleId="NormalWeb">
    <w:name w:val="Normal (Web)"/>
    <w:basedOn w:val="Normal"/>
    <w:uiPriority w:val="99"/>
    <w:semiHidden/>
    <w:unhideWhenUsed/>
    <w:rsid w:val="00AC0C38"/>
    <w:pPr>
      <w:spacing w:before="100" w:beforeAutospacing="1" w:after="100" w:afterAutospacing="1"/>
      <w:jc w:val="left"/>
    </w:pPr>
    <w:rPr>
      <w:rFonts w:eastAsia="Times New Roman" w:cs="Times New Roman"/>
      <w:sz w:val="24"/>
      <w:szCs w:val="24"/>
    </w:rPr>
  </w:style>
  <w:style w:type="character" w:customStyle="1" w:styleId="normal-h1">
    <w:name w:val="normal-h1"/>
    <w:basedOn w:val="DefaultParagraphFont"/>
    <w:rsid w:val="00AC0C38"/>
  </w:style>
</w:styles>
</file>

<file path=word/webSettings.xml><?xml version="1.0" encoding="utf-8"?>
<w:webSettings xmlns:r="http://schemas.openxmlformats.org/officeDocument/2006/relationships" xmlns:w="http://schemas.openxmlformats.org/wordprocessingml/2006/main">
  <w:divs>
    <w:div w:id="11664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thc.bacgiang.gov.vn/services/q-180/Quyet-dinh-so-811/QD-UBND-ngay-01/6/2016-cua-Chu-tich-UBND-tinh-cong-bo-chuan-hoa-TTHC-thuoc-linh-vuc-Van-hoa,-The-thao-va-Du-li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2018-09-25T10:12:00Z</dcterms:created>
  <dcterms:modified xsi:type="dcterms:W3CDTF">2018-09-25T10:12:00Z</dcterms:modified>
</cp:coreProperties>
</file>